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outlineLvl w:val="1"/>
        <w:rPr>
          <w:rFonts w:ascii="微软雅黑" w:hAnsi="微软雅黑" w:eastAsia="微软雅黑" w:cs="宋体"/>
          <w:b/>
          <w:bCs/>
          <w:color w:val="4B4B4B"/>
          <w:kern w:val="36"/>
          <w:sz w:val="30"/>
          <w:szCs w:val="30"/>
        </w:rPr>
      </w:pPr>
      <w:bookmarkStart w:id="0" w:name="_GoBack"/>
      <w:r>
        <w:rPr>
          <w:rFonts w:hint="eastAsia" w:ascii="微软雅黑" w:hAnsi="微软雅黑" w:eastAsia="微软雅黑" w:cs="宋体"/>
          <w:b/>
          <w:bCs/>
          <w:color w:val="4B4B4B"/>
          <w:kern w:val="36"/>
          <w:sz w:val="30"/>
          <w:szCs w:val="30"/>
        </w:rPr>
        <w:t>教育部关于印发《高等学校课程思政建设</w:t>
      </w:r>
      <w:r>
        <w:rPr>
          <w:rFonts w:hint="eastAsia" w:ascii="微软雅黑" w:hAnsi="微软雅黑" w:eastAsia="微软雅黑" w:cs="宋体"/>
          <w:b/>
          <w:bCs/>
          <w:color w:val="4B4B4B"/>
          <w:kern w:val="36"/>
          <w:sz w:val="30"/>
          <w:szCs w:val="30"/>
        </w:rPr>
        <w:br w:type="textWrapping"/>
      </w:r>
      <w:r>
        <w:rPr>
          <w:rFonts w:hint="eastAsia" w:ascii="微软雅黑" w:hAnsi="微软雅黑" w:eastAsia="微软雅黑" w:cs="宋体"/>
          <w:b/>
          <w:bCs/>
          <w:color w:val="4B4B4B"/>
          <w:kern w:val="36"/>
          <w:sz w:val="30"/>
          <w:szCs w:val="30"/>
        </w:rPr>
        <w:t>指导纲要》的通知</w:t>
      </w:r>
    </w:p>
    <w:p>
      <w:pPr>
        <w:widowControl/>
        <w:shd w:val="clear" w:color="auto" w:fill="FFFFFF"/>
        <w:spacing w:before="100" w:beforeAutospacing="1" w:after="100" w:afterAutospacing="1" w:line="480" w:lineRule="atLeast"/>
        <w:jc w:val="righ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教高〔2020〕3号</w:t>
      </w:r>
    </w:p>
    <w:bookmarkEnd w:id="0"/>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各省、自治区、直辖市教育厅（教委），新疆生产建设兵团教育局，有关部门（单位）教育司（局），部属各高等学校、部省合建各高等学校：</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《高等学校课程思政建设指导纲要》已经教育部党组会议审议通过，现印发给你们，请结合实际认真贯彻执行。</w:t>
      </w:r>
    </w:p>
    <w:p>
      <w:pPr>
        <w:widowControl/>
        <w:shd w:val="clear" w:color="auto" w:fill="FFFFFF"/>
        <w:spacing w:before="100" w:beforeAutospacing="1" w:after="100" w:afterAutospacing="1" w:line="480" w:lineRule="atLeast"/>
        <w:jc w:val="righ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教育部</w:t>
      </w:r>
    </w:p>
    <w:p>
      <w:pPr>
        <w:widowControl/>
        <w:shd w:val="clear" w:color="auto" w:fill="FFFFFF"/>
        <w:spacing w:before="100" w:beforeAutospacing="1" w:after="100" w:afterAutospacing="1" w:line="480" w:lineRule="atLeast"/>
        <w:jc w:val="righ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2020年5月28日</w:t>
      </w:r>
    </w:p>
    <w:p>
      <w:pPr>
        <w:widowControl/>
        <w:shd w:val="clear" w:color="auto" w:fill="FFFFFF"/>
        <w:spacing w:before="100" w:beforeAutospacing="1" w:after="100" w:afterAutospacing="1" w:line="480" w:lineRule="atLeast"/>
        <w:jc w:val="center"/>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高等学校课程思政建设指导纲要</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一、全面推进课程思政建设是落实立德树人根本任务的战略举措</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二、课程思政建设是全面提高人才培养质量的重要任务</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三、明确课程思政建设目标要求和内容重点</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深化职业理想和职业道德教育。教育引导学生深刻理解并自觉实践各行业的职业精神和职业规范，增强职业责任感，培养遵纪守法、爱岗敬业、无私奉献、诚实守信、公道办事、开拓创新的职业品格和行为习惯。</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四、科学设计课程思政教学体系</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五、结合专业特点分类推进课程思政建设</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专业课程是课程思政建设的基本载体。要深入梳理专业课教学内容，结合不同课程特点、思维方法和价值理念，深入挖掘课程思政元素，有机融入课程教学，达到润物无声的育人效果。</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高等职业学校要结合高职专业分类和课程设置情况，落实好分类推进相关要求。</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六、将课程思政融入课堂教学建设全过程</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七、提升教师课程思政建设的意识和能力</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八、建立健全课程思政建设质量评价体系和激励机制</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九、加强课程思政建设组织实施和条件保障</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45"/>
    <w:rsid w:val="0041432F"/>
    <w:rsid w:val="00B94045"/>
    <w:rsid w:val="00DE55D9"/>
    <w:rsid w:val="60D4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899</Words>
  <Characters>5128</Characters>
  <Lines>42</Lines>
  <Paragraphs>12</Paragraphs>
  <TotalTime>2</TotalTime>
  <ScaleCrop>false</ScaleCrop>
  <LinksUpToDate>false</LinksUpToDate>
  <CharactersWithSpaces>6015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2020-06-11T16:46:00Z</dcterms:created>
  <dc:creator>David Wang</dc:creator>
  <cp:lastModifiedBy>LENOVO</cp:lastModifiedBy>
  <dcterms:modified xsi:type="dcterms:W3CDTF">2020-10-16T08:16:21Z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